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firstLine="2640" w:firstLineChars="600"/>
        <w:jc w:val="both"/>
        <w:textAlignment w:val="auto"/>
        <w:rPr>
          <w:rFonts w:hint="eastAsia" w:ascii="黑体" w:hAnsi="黑体" w:eastAsia="黑体" w:cs="Times New Roman"/>
          <w:b w:val="0"/>
          <w:bCs/>
          <w:sz w:val="44"/>
          <w:szCs w:val="44"/>
        </w:rPr>
      </w:pPr>
      <w:r>
        <w:rPr>
          <w:rFonts w:hint="eastAsia" w:ascii="黑体" w:hAnsi="黑体" w:eastAsia="黑体" w:cs="Times New Roman"/>
          <w:b w:val="0"/>
          <w:bCs/>
          <w:sz w:val="44"/>
          <w:szCs w:val="44"/>
        </w:rPr>
        <w:t>职工学历、技能提升项目教学服务机构征集评分标准</w:t>
      </w:r>
    </w:p>
    <w:tbl>
      <w:tblPr>
        <w:tblStyle w:val="4"/>
        <w:tblW w:w="14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1554"/>
        <w:gridCol w:w="10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评分要素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分值</w:t>
            </w:r>
          </w:p>
        </w:tc>
        <w:tc>
          <w:tcPr>
            <w:tcW w:w="6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评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分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标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kern w:val="0"/>
                <w:sz w:val="24"/>
                <w:szCs w:val="24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企业资信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szCs w:val="24"/>
              </w:rPr>
              <w:t>35分</w:t>
            </w:r>
          </w:p>
        </w:tc>
        <w:tc>
          <w:tcPr>
            <w:tcW w:w="6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申请机构具有政府部门颁发的学历提升的民办非企业单位登记证书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和办学许可证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、教学点或学习中心审批文件得10分。（提供证书扫描件并加盖投标单位电子公章，否则不得分）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textAlignment w:val="auto"/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申请机构具有政府部门颁发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的职业技能提升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的民办非企业单位登记证书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和办学许可证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的审批文件得10分；（提供证书扫描件并加盖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申请机构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电子公章，否则不得分）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申请机构在临安主城区具备500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平方以上且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满足教学需要的设施设备、学习资源、机房等符合教学场地得15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分；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（提供相关证明及图片加盖公章（实地踏看），否则不得分）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ind w:firstLine="482" w:firstLineChars="200"/>
              <w:jc w:val="left"/>
              <w:textAlignment w:val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师资配备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20分</w:t>
            </w:r>
          </w:p>
        </w:tc>
        <w:tc>
          <w:tcPr>
            <w:tcW w:w="6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textAlignment w:val="auto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申请机构具备管理团队10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人（含）以上的得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分，具备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教学师资10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人（含）以上的得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提供有效证书扫描件，申请机构为其缴纳临安的近1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个月的社保证明扫描件（管理人员），并加盖投标单位电子公章，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5-9人得5分，5人以下</w:t>
            </w:r>
            <w:bookmarkStart w:id="0" w:name="_GoBack"/>
            <w:bookmarkEnd w:id="0"/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（不含5人）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不得分。）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教学经验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25分</w:t>
            </w:r>
          </w:p>
        </w:tc>
        <w:tc>
          <w:tcPr>
            <w:tcW w:w="6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20" w:lineRule="exact"/>
              <w:jc w:val="left"/>
              <w:textAlignment w:val="auto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申请机构具备学历提升、职业技能培训线上线下5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年以上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教学服务经验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（得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分），且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教学服务经验丰富的（得8分，按教学服务经验计量依次减分）。（提供5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年以上教学证明，近一年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线上线下教学服务经验相关材料和截屏证明，须加盖公章，否则不得分。）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left"/>
              <w:textAlignment w:val="auto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、规范办学，办学期间获得相关荣誉称号得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分，无法律诉讼纠纷得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分。 （提供区级及以上相关荣誉证明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扫描件和主管部门证明材料，区级荣誉一项得0.5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分，市级荣誉一项得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分，省级及以上荣誉一项得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分，）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制度健全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10分</w:t>
            </w:r>
          </w:p>
        </w:tc>
        <w:tc>
          <w:tcPr>
            <w:tcW w:w="6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left"/>
              <w:textAlignment w:val="auto"/>
              <w:rPr>
                <w:rFonts w:ascii="仿宋" w:hAnsi="仿宋" w:eastAsia="仿宋_GB2312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申请机构提供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教学管理制度、日常管理制度、岗位职责、财务管理等规章制度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得10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分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。（提供相关制度文件材料证明）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服务保障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360" w:lineRule="exact"/>
              <w:jc w:val="center"/>
              <w:textAlignment w:val="auto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10分</w:t>
            </w:r>
          </w:p>
        </w:tc>
        <w:tc>
          <w:tcPr>
            <w:tcW w:w="6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20" w:lineRule="exact"/>
              <w:jc w:val="left"/>
              <w:textAlignment w:val="auto"/>
              <w:rPr>
                <w:rFonts w:ascii="仿宋" w:hAnsi="仿宋" w:eastAsia="仿宋"/>
                <w:bCs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申请机构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需提供详细的服务保障方案，服务方案应围绕人员安排、平台支撑、配套作业、个性服务、场地配备、安全保障、突发事件预案七方面进行详细阐述；服务保障方案应完整、科学、可行、有明确服务保障措施，有丰富的教学经验支撑服务并能驻点办公，积极配合承担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eastAsia="zh-CN"/>
              </w:rPr>
              <w:t>区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总工会相关公益培训。根据方案质量进行综合评分，优10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分；良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分；一般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分；差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sectPr>
      <w:pgSz w:w="16838" w:h="11906" w:orient="landscape"/>
      <w:pgMar w:top="158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Nzc1YjFlY2FhMDY5OGY4OTZmZGVhMTQxY2EwYzEifQ=="/>
  </w:docVars>
  <w:rsids>
    <w:rsidRoot w:val="004760E8"/>
    <w:rsid w:val="00095301"/>
    <w:rsid w:val="00357F4F"/>
    <w:rsid w:val="004760E8"/>
    <w:rsid w:val="00622E01"/>
    <w:rsid w:val="006B0E2D"/>
    <w:rsid w:val="1AC83A4E"/>
    <w:rsid w:val="1D4107AC"/>
    <w:rsid w:val="1F752B58"/>
    <w:rsid w:val="202676C9"/>
    <w:rsid w:val="225A7076"/>
    <w:rsid w:val="2ADA265A"/>
    <w:rsid w:val="3EEB55DD"/>
    <w:rsid w:val="474F64DA"/>
    <w:rsid w:val="4C073E6B"/>
    <w:rsid w:val="65F87138"/>
    <w:rsid w:val="7CCC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7"/>
    <w:unhideWhenUsed/>
    <w:qFormat/>
    <w:uiPriority w:val="99"/>
    <w:pPr>
      <w:adjustRightInd w:val="0"/>
      <w:jc w:val="center"/>
    </w:pPr>
  </w:style>
  <w:style w:type="paragraph" w:styleId="3">
    <w:name w:val="Plain Text"/>
    <w:basedOn w:val="1"/>
    <w:link w:val="6"/>
    <w:unhideWhenUsed/>
    <w:uiPriority w:val="99"/>
    <w:pPr>
      <w:spacing w:beforeLines="50" w:afterLines="50" w:line="400" w:lineRule="exact"/>
    </w:pPr>
    <w:rPr>
      <w:rFonts w:ascii="宋体" w:hAnsi="Courier New" w:cs="宋体"/>
      <w:sz w:val="24"/>
      <w:szCs w:val="24"/>
    </w:rPr>
  </w:style>
  <w:style w:type="character" w:customStyle="1" w:styleId="6">
    <w:name w:val="纯文本 Char"/>
    <w:basedOn w:val="5"/>
    <w:link w:val="3"/>
    <w:qFormat/>
    <w:uiPriority w:val="99"/>
    <w:rPr>
      <w:rFonts w:ascii="宋体" w:hAnsi="Courier New" w:eastAsia="宋体" w:cs="宋体"/>
      <w:sz w:val="24"/>
      <w:szCs w:val="24"/>
    </w:rPr>
  </w:style>
  <w:style w:type="character" w:customStyle="1" w:styleId="7">
    <w:name w:val="正文文本 3 Char"/>
    <w:basedOn w:val="5"/>
    <w:link w:val="2"/>
    <w:qFormat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125</Words>
  <Characters>717</Characters>
  <Lines>5</Lines>
  <Paragraphs>1</Paragraphs>
  <TotalTime>0</TotalTime>
  <ScaleCrop>false</ScaleCrop>
  <LinksUpToDate>false</LinksUpToDate>
  <CharactersWithSpaces>841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2023-03-13T03:33:00Z</dcterms:created>
  <dc:creator>Administrator</dc:creator>
  <cp:lastModifiedBy>Administrator</cp:lastModifiedBy>
  <cp:lastPrinted>2023-03-15T01:22:00Z</cp:lastPrinted>
  <dcterms:modified xsi:type="dcterms:W3CDTF">2023-03-20T05:01:05Z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917B2B6465414CC2BBDE138A0CD9291D</vt:lpwstr>
  </property>
</Properties>
</file>